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0B203" w14:textId="476A14C0" w:rsidR="00D56B47" w:rsidRPr="00740085" w:rsidRDefault="002C2303" w:rsidP="00740D53">
      <w:pPr>
        <w:spacing w:after="0" w:line="240" w:lineRule="auto"/>
        <w:jc w:val="center"/>
        <w:textAlignment w:val="baseline"/>
        <w:rPr>
          <w:rFonts w:ascii="Arial" w:eastAsia="Times New Roman" w:hAnsi="Arial" w:cs="Arial"/>
          <w:sz w:val="18"/>
          <w:szCs w:val="18"/>
        </w:rPr>
      </w:pPr>
      <w:r>
        <w:rPr>
          <w:rFonts w:ascii="Arial" w:eastAsia="Times New Roman" w:hAnsi="Arial" w:cs="Arial"/>
          <w:b/>
          <w:bCs/>
          <w:sz w:val="24"/>
          <w:szCs w:val="24"/>
        </w:rPr>
        <w:t>Police Ombudsman for Northern Ireland</w:t>
      </w:r>
    </w:p>
    <w:p w14:paraId="6D5543C6" w14:textId="0223EC4B" w:rsidR="00D56B47" w:rsidRDefault="002C2303" w:rsidP="004E3645">
      <w:pPr>
        <w:spacing w:after="0" w:line="240" w:lineRule="auto"/>
        <w:jc w:val="center"/>
        <w:textAlignment w:val="baseline"/>
        <w:rPr>
          <w:rFonts w:ascii="Arial" w:eastAsia="Times New Roman" w:hAnsi="Arial" w:cs="Arial"/>
          <w:sz w:val="24"/>
          <w:szCs w:val="24"/>
        </w:rPr>
      </w:pPr>
      <w:r>
        <w:rPr>
          <w:rFonts w:ascii="Arial" w:eastAsia="Times New Roman" w:hAnsi="Arial" w:cs="Arial"/>
          <w:b/>
          <w:bCs/>
          <w:sz w:val="24"/>
          <w:szCs w:val="24"/>
        </w:rPr>
        <w:t xml:space="preserve">Summary: </w:t>
      </w:r>
      <w:r w:rsidR="00D56B47" w:rsidRPr="00740085">
        <w:rPr>
          <w:rFonts w:ascii="Arial" w:eastAsia="Times New Roman" w:hAnsi="Arial" w:cs="Arial"/>
          <w:b/>
          <w:bCs/>
          <w:sz w:val="24"/>
          <w:szCs w:val="24"/>
        </w:rPr>
        <w:t>Equality Screened Policies </w:t>
      </w:r>
      <w:r w:rsidR="00D56B47">
        <w:rPr>
          <w:rFonts w:ascii="Arial" w:eastAsia="Times New Roman" w:hAnsi="Arial" w:cs="Arial"/>
          <w:b/>
          <w:bCs/>
          <w:sz w:val="24"/>
          <w:szCs w:val="24"/>
        </w:rPr>
        <w:t xml:space="preserve">1 </w:t>
      </w:r>
      <w:r w:rsidR="002152CE">
        <w:rPr>
          <w:rFonts w:ascii="Arial" w:eastAsia="Times New Roman" w:hAnsi="Arial" w:cs="Arial"/>
          <w:b/>
          <w:bCs/>
          <w:sz w:val="24"/>
          <w:szCs w:val="24"/>
        </w:rPr>
        <w:t>January</w:t>
      </w:r>
      <w:r>
        <w:rPr>
          <w:rFonts w:ascii="Arial" w:eastAsia="Times New Roman" w:hAnsi="Arial" w:cs="Arial"/>
          <w:b/>
          <w:bCs/>
          <w:sz w:val="24"/>
          <w:szCs w:val="24"/>
        </w:rPr>
        <w:t xml:space="preserve"> – 31 </w:t>
      </w:r>
      <w:r w:rsidR="00FE141D">
        <w:rPr>
          <w:rFonts w:ascii="Arial" w:eastAsia="Times New Roman" w:hAnsi="Arial" w:cs="Arial"/>
          <w:b/>
          <w:bCs/>
          <w:sz w:val="24"/>
          <w:szCs w:val="24"/>
        </w:rPr>
        <w:t>December</w:t>
      </w:r>
      <w:r w:rsidR="00883C2F">
        <w:rPr>
          <w:rFonts w:ascii="Arial" w:eastAsia="Times New Roman" w:hAnsi="Arial" w:cs="Arial"/>
          <w:b/>
          <w:bCs/>
          <w:sz w:val="24"/>
          <w:szCs w:val="24"/>
        </w:rPr>
        <w:t xml:space="preserve"> 202</w:t>
      </w:r>
      <w:r w:rsidR="00532610">
        <w:rPr>
          <w:rFonts w:ascii="Arial" w:eastAsia="Times New Roman" w:hAnsi="Arial" w:cs="Arial"/>
          <w:b/>
          <w:bCs/>
          <w:sz w:val="24"/>
          <w:szCs w:val="24"/>
        </w:rPr>
        <w:t>4</w:t>
      </w:r>
      <w:r w:rsidR="00D56B47" w:rsidRPr="00740085">
        <w:rPr>
          <w:rFonts w:ascii="Arial" w:eastAsia="Times New Roman" w:hAnsi="Arial" w:cs="Arial"/>
          <w:sz w:val="24"/>
          <w:szCs w:val="24"/>
        </w:rPr>
        <w:t> </w:t>
      </w:r>
    </w:p>
    <w:p w14:paraId="34DBF55D" w14:textId="77777777" w:rsidR="002C2303" w:rsidRDefault="002C2303" w:rsidP="004E3645">
      <w:pPr>
        <w:spacing w:after="0" w:line="240" w:lineRule="auto"/>
        <w:jc w:val="center"/>
        <w:textAlignment w:val="baseline"/>
        <w:rPr>
          <w:rFonts w:ascii="Arial" w:eastAsia="Times New Roman" w:hAnsi="Arial" w:cs="Arial"/>
          <w:sz w:val="24"/>
          <w:szCs w:val="24"/>
        </w:rPr>
      </w:pPr>
    </w:p>
    <w:p w14:paraId="7560C680" w14:textId="08CD978A" w:rsidR="002C2303" w:rsidRDefault="002C2303" w:rsidP="004E3645">
      <w:pPr>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 xml:space="preserve">To request a copy of screening documents associated with each policy, please </w:t>
      </w:r>
      <w:r w:rsidRPr="00AB36AC">
        <w:rPr>
          <w:rFonts w:ascii="Arial" w:eastAsia="Times New Roman" w:hAnsi="Arial" w:cs="Arial"/>
          <w:sz w:val="24"/>
          <w:szCs w:val="24"/>
        </w:rPr>
        <w:t>contact</w:t>
      </w:r>
      <w:r w:rsidR="00AB36AC">
        <w:rPr>
          <w:rFonts w:ascii="Arial" w:eastAsia="Times New Roman" w:hAnsi="Arial" w:cs="Arial"/>
          <w:sz w:val="24"/>
          <w:szCs w:val="24"/>
        </w:rPr>
        <w:t xml:space="preserve"> hr@policeombudsman.org</w:t>
      </w:r>
    </w:p>
    <w:p w14:paraId="1BCAAB90" w14:textId="77777777" w:rsidR="00213F66" w:rsidRPr="00740085" w:rsidRDefault="00213F66" w:rsidP="004E3645">
      <w:pPr>
        <w:spacing w:after="0" w:line="240" w:lineRule="auto"/>
        <w:jc w:val="center"/>
        <w:textAlignment w:val="baseline"/>
        <w:rPr>
          <w:rFonts w:ascii="Arial" w:eastAsia="Times New Roman" w:hAnsi="Arial" w:cs="Arial"/>
          <w:sz w:val="18"/>
          <w:szCs w:val="18"/>
        </w:rPr>
      </w:pPr>
    </w:p>
    <w:tbl>
      <w:tblPr>
        <w:tblStyle w:val="TableGrid"/>
        <w:tblW w:w="13036" w:type="dxa"/>
        <w:tblLook w:val="04A0" w:firstRow="1" w:lastRow="0" w:firstColumn="1" w:lastColumn="0" w:noHBand="0" w:noVBand="1"/>
        <w:tblCaption w:val="Equality Outcomes "/>
        <w:tblDescription w:val="Equality screening outcomes "/>
      </w:tblPr>
      <w:tblGrid>
        <w:gridCol w:w="2122"/>
        <w:gridCol w:w="1659"/>
        <w:gridCol w:w="6279"/>
        <w:gridCol w:w="2976"/>
      </w:tblGrid>
      <w:tr w:rsidR="002C2303" w:rsidRPr="00896E4F" w14:paraId="31CA8743" w14:textId="77777777" w:rsidTr="00F94544">
        <w:trPr>
          <w:tblHeader/>
        </w:trPr>
        <w:tc>
          <w:tcPr>
            <w:tcW w:w="2122" w:type="dxa"/>
            <w:hideMark/>
          </w:tcPr>
          <w:p w14:paraId="7B15F2F2" w14:textId="77777777" w:rsidR="002C2303" w:rsidRPr="00F94544" w:rsidRDefault="002C2303" w:rsidP="002D2B5E">
            <w:pPr>
              <w:jc w:val="center"/>
              <w:textAlignment w:val="baseline"/>
              <w:rPr>
                <w:rFonts w:ascii="Arial" w:eastAsia="Times New Roman" w:hAnsi="Arial" w:cs="Arial"/>
                <w:sz w:val="24"/>
                <w:szCs w:val="24"/>
              </w:rPr>
            </w:pPr>
            <w:r w:rsidRPr="00F94544">
              <w:rPr>
                <w:rFonts w:ascii="Arial" w:eastAsia="Times New Roman" w:hAnsi="Arial" w:cs="Arial"/>
                <w:b/>
                <w:bCs/>
                <w:sz w:val="24"/>
                <w:szCs w:val="24"/>
              </w:rPr>
              <w:t>Policy Title</w:t>
            </w:r>
            <w:r w:rsidRPr="00F94544">
              <w:rPr>
                <w:rFonts w:ascii="Arial" w:eastAsia="Times New Roman" w:hAnsi="Arial" w:cs="Arial"/>
                <w:sz w:val="24"/>
                <w:szCs w:val="24"/>
              </w:rPr>
              <w:t> </w:t>
            </w:r>
          </w:p>
        </w:tc>
        <w:tc>
          <w:tcPr>
            <w:tcW w:w="1659" w:type="dxa"/>
            <w:hideMark/>
          </w:tcPr>
          <w:p w14:paraId="14161D09" w14:textId="77777777" w:rsidR="002C2303" w:rsidRPr="00F94544" w:rsidRDefault="002C2303" w:rsidP="002D2B5E">
            <w:pPr>
              <w:jc w:val="center"/>
              <w:textAlignment w:val="baseline"/>
              <w:rPr>
                <w:rFonts w:ascii="Arial" w:eastAsia="Times New Roman" w:hAnsi="Arial" w:cs="Arial"/>
                <w:sz w:val="24"/>
                <w:szCs w:val="24"/>
              </w:rPr>
            </w:pPr>
            <w:r w:rsidRPr="00F94544">
              <w:rPr>
                <w:rFonts w:ascii="Arial" w:eastAsia="Times New Roman" w:hAnsi="Arial" w:cs="Arial"/>
                <w:b/>
                <w:bCs/>
                <w:sz w:val="24"/>
                <w:szCs w:val="24"/>
              </w:rPr>
              <w:t>Date Screened</w:t>
            </w:r>
            <w:r w:rsidRPr="00F94544">
              <w:rPr>
                <w:rFonts w:ascii="Arial" w:eastAsia="Times New Roman" w:hAnsi="Arial" w:cs="Arial"/>
                <w:sz w:val="24"/>
                <w:szCs w:val="24"/>
              </w:rPr>
              <w:t> </w:t>
            </w:r>
          </w:p>
        </w:tc>
        <w:tc>
          <w:tcPr>
            <w:tcW w:w="6279" w:type="dxa"/>
            <w:hideMark/>
          </w:tcPr>
          <w:p w14:paraId="2F64A422" w14:textId="5F77E240" w:rsidR="002C2303" w:rsidRPr="00F94544" w:rsidRDefault="002C2303" w:rsidP="002C2303">
            <w:pPr>
              <w:jc w:val="center"/>
              <w:textAlignment w:val="baseline"/>
              <w:rPr>
                <w:rFonts w:ascii="Arial" w:eastAsia="Times New Roman" w:hAnsi="Arial" w:cs="Arial"/>
                <w:sz w:val="24"/>
                <w:szCs w:val="24"/>
              </w:rPr>
            </w:pPr>
            <w:r w:rsidRPr="00F94544">
              <w:rPr>
                <w:rFonts w:ascii="Arial" w:eastAsia="Times New Roman" w:hAnsi="Arial" w:cs="Arial"/>
                <w:b/>
                <w:bCs/>
                <w:sz w:val="24"/>
                <w:szCs w:val="24"/>
              </w:rPr>
              <w:t>Policy Aim</w:t>
            </w:r>
            <w:r w:rsidRPr="00F94544">
              <w:rPr>
                <w:rFonts w:ascii="Arial" w:eastAsia="Times New Roman" w:hAnsi="Arial" w:cs="Arial"/>
                <w:sz w:val="24"/>
                <w:szCs w:val="24"/>
              </w:rPr>
              <w:t> </w:t>
            </w:r>
          </w:p>
        </w:tc>
        <w:tc>
          <w:tcPr>
            <w:tcW w:w="2976" w:type="dxa"/>
            <w:hideMark/>
          </w:tcPr>
          <w:p w14:paraId="77AC8DD8" w14:textId="77777777" w:rsidR="002C2303" w:rsidRPr="00740085" w:rsidRDefault="002C2303" w:rsidP="002D2B5E">
            <w:pPr>
              <w:textAlignment w:val="baseline"/>
              <w:rPr>
                <w:rFonts w:ascii="Arial" w:eastAsia="Times New Roman" w:hAnsi="Arial" w:cs="Arial"/>
                <w:sz w:val="24"/>
                <w:szCs w:val="24"/>
              </w:rPr>
            </w:pPr>
            <w:r w:rsidRPr="00740085">
              <w:rPr>
                <w:rFonts w:ascii="Arial" w:eastAsia="Times New Roman" w:hAnsi="Arial" w:cs="Arial"/>
                <w:b/>
                <w:bCs/>
                <w:sz w:val="24"/>
                <w:szCs w:val="24"/>
              </w:rPr>
              <w:t>Screening Outcomes</w:t>
            </w:r>
            <w:r w:rsidRPr="00740085">
              <w:rPr>
                <w:rFonts w:ascii="Arial" w:eastAsia="Times New Roman" w:hAnsi="Arial" w:cs="Arial"/>
                <w:sz w:val="24"/>
                <w:szCs w:val="24"/>
              </w:rPr>
              <w:t> </w:t>
            </w:r>
          </w:p>
        </w:tc>
      </w:tr>
      <w:tr w:rsidR="00F94544" w:rsidRPr="00896E4F" w14:paraId="20DB2BC0" w14:textId="77777777" w:rsidTr="00F94544">
        <w:tc>
          <w:tcPr>
            <w:tcW w:w="2122" w:type="dxa"/>
          </w:tcPr>
          <w:p w14:paraId="6309D9F4" w14:textId="38E37B7B" w:rsidR="00DF5387" w:rsidRPr="00F94544" w:rsidRDefault="003C4A21" w:rsidP="003C4A21">
            <w:pPr>
              <w:rPr>
                <w:rFonts w:ascii="Arial" w:eastAsia="Times New Roman" w:hAnsi="Arial" w:cs="Arial"/>
                <w:sz w:val="24"/>
                <w:szCs w:val="24"/>
              </w:rPr>
            </w:pPr>
            <w:r>
              <w:rPr>
                <w:rFonts w:ascii="Arial" w:hAnsi="Arial" w:cs="Arial"/>
                <w:sz w:val="24"/>
                <w:szCs w:val="24"/>
              </w:rPr>
              <w:t>Walk-In Process</w:t>
            </w:r>
          </w:p>
        </w:tc>
        <w:tc>
          <w:tcPr>
            <w:tcW w:w="1659" w:type="dxa"/>
          </w:tcPr>
          <w:p w14:paraId="0BFB4374" w14:textId="27A219CB" w:rsidR="00F94544" w:rsidRPr="00F94544" w:rsidRDefault="003C4A21" w:rsidP="00532610">
            <w:pPr>
              <w:jc w:val="center"/>
              <w:textAlignment w:val="baseline"/>
              <w:rPr>
                <w:rFonts w:ascii="Arial" w:eastAsia="Times New Roman" w:hAnsi="Arial" w:cs="Arial"/>
                <w:sz w:val="24"/>
                <w:szCs w:val="24"/>
              </w:rPr>
            </w:pPr>
            <w:r>
              <w:rPr>
                <w:rFonts w:ascii="Arial" w:eastAsia="Times New Roman" w:hAnsi="Arial" w:cs="Arial"/>
                <w:sz w:val="24"/>
                <w:szCs w:val="24"/>
              </w:rPr>
              <w:t>14</w:t>
            </w:r>
            <w:r w:rsidR="00F94544" w:rsidRPr="00F94544">
              <w:rPr>
                <w:rFonts w:ascii="Arial" w:eastAsia="Times New Roman" w:hAnsi="Arial" w:cs="Arial"/>
                <w:sz w:val="24"/>
                <w:szCs w:val="24"/>
              </w:rPr>
              <w:t>/</w:t>
            </w:r>
            <w:r>
              <w:rPr>
                <w:rFonts w:ascii="Arial" w:eastAsia="Times New Roman" w:hAnsi="Arial" w:cs="Arial"/>
                <w:sz w:val="24"/>
                <w:szCs w:val="24"/>
              </w:rPr>
              <w:t>10</w:t>
            </w:r>
            <w:r w:rsidR="00F94544" w:rsidRPr="00F94544">
              <w:rPr>
                <w:rFonts w:ascii="Arial" w:eastAsia="Times New Roman" w:hAnsi="Arial" w:cs="Arial"/>
                <w:sz w:val="24"/>
                <w:szCs w:val="24"/>
              </w:rPr>
              <w:t>/</w:t>
            </w:r>
            <w:r w:rsidR="00836743">
              <w:rPr>
                <w:rFonts w:ascii="Arial" w:eastAsia="Times New Roman" w:hAnsi="Arial" w:cs="Arial"/>
                <w:sz w:val="24"/>
                <w:szCs w:val="24"/>
              </w:rPr>
              <w:t>20</w:t>
            </w:r>
            <w:r w:rsidR="00F94544" w:rsidRPr="00F94544">
              <w:rPr>
                <w:rFonts w:ascii="Arial" w:eastAsia="Times New Roman" w:hAnsi="Arial" w:cs="Arial"/>
                <w:sz w:val="24"/>
                <w:szCs w:val="24"/>
              </w:rPr>
              <w:t>2</w:t>
            </w:r>
            <w:r w:rsidR="00532610">
              <w:rPr>
                <w:rFonts w:ascii="Arial" w:eastAsia="Times New Roman" w:hAnsi="Arial" w:cs="Arial"/>
                <w:sz w:val="24"/>
                <w:szCs w:val="24"/>
              </w:rPr>
              <w:t>4</w:t>
            </w:r>
          </w:p>
        </w:tc>
        <w:tc>
          <w:tcPr>
            <w:tcW w:w="6279" w:type="dxa"/>
          </w:tcPr>
          <w:p w14:paraId="2C03BA38" w14:textId="77777777" w:rsidR="003C4A21" w:rsidRPr="003C4A21" w:rsidRDefault="003C4A21" w:rsidP="003C4A21">
            <w:pPr>
              <w:rPr>
                <w:rFonts w:ascii="Arial" w:hAnsi="Arial" w:cs="Arial"/>
                <w:sz w:val="24"/>
                <w:szCs w:val="24"/>
              </w:rPr>
            </w:pPr>
            <w:r w:rsidRPr="003C4A21">
              <w:rPr>
                <w:rFonts w:ascii="Arial" w:hAnsi="Arial" w:cs="Arial"/>
                <w:sz w:val="24"/>
                <w:szCs w:val="24"/>
              </w:rPr>
              <w:t>The process aims to ensure that all persons attending without an appointment can provide basic details of their complaint via a complaints form or via telephone and this is reviewed by a member of staff and then appropriate next steps communicated to the person – these will either be organising a meeting or writing out to the person or making further contact by telephone. The process aims to safeguard staff by preventing them were possible having to meet face to face with unknown persons without an appointment and having had no opportunity to check antecedents and / or risk assess the person. The process does not preclude any person from having a face to face meeting with staff if this is required, it simply provides more control to our staff as to how, when and where this will happen.</w:t>
            </w:r>
          </w:p>
          <w:p w14:paraId="41577C80" w14:textId="6833F325" w:rsidR="00F94544" w:rsidRPr="00B12DBD" w:rsidRDefault="00F94544" w:rsidP="00532610">
            <w:pPr>
              <w:rPr>
                <w:rFonts w:ascii="Arial" w:hAnsi="Arial" w:cs="Arial"/>
                <w:sz w:val="24"/>
                <w:szCs w:val="24"/>
              </w:rPr>
            </w:pPr>
          </w:p>
        </w:tc>
        <w:tc>
          <w:tcPr>
            <w:tcW w:w="2976" w:type="dxa"/>
          </w:tcPr>
          <w:p w14:paraId="02D98583" w14:textId="77777777" w:rsidR="00F94544" w:rsidRPr="00740085" w:rsidRDefault="00F94544" w:rsidP="00F94544">
            <w:pPr>
              <w:textAlignment w:val="baseline"/>
              <w:rPr>
                <w:rFonts w:ascii="Arial" w:eastAsia="Times New Roman" w:hAnsi="Arial" w:cs="Arial"/>
                <w:sz w:val="24"/>
                <w:szCs w:val="24"/>
              </w:rPr>
            </w:pPr>
            <w:r>
              <w:rPr>
                <w:rFonts w:ascii="Arial" w:eastAsia="Times New Roman" w:hAnsi="Arial" w:cs="Arial"/>
                <w:sz w:val="24"/>
                <w:szCs w:val="24"/>
              </w:rPr>
              <w:t>Screened Out</w:t>
            </w:r>
          </w:p>
          <w:p w14:paraId="54501FA7" w14:textId="77777777" w:rsidR="00F94544" w:rsidRPr="00896E4F" w:rsidRDefault="00F94544" w:rsidP="002D2B5E">
            <w:pPr>
              <w:textAlignment w:val="baseline"/>
              <w:rPr>
                <w:rFonts w:ascii="Arial" w:eastAsia="Times New Roman" w:hAnsi="Arial" w:cs="Arial"/>
                <w:sz w:val="24"/>
                <w:szCs w:val="24"/>
              </w:rPr>
            </w:pPr>
          </w:p>
        </w:tc>
      </w:tr>
      <w:tr w:rsidR="005A7896" w:rsidRPr="003C4A21" w14:paraId="6E590667" w14:textId="77777777" w:rsidTr="00F94544">
        <w:tc>
          <w:tcPr>
            <w:tcW w:w="2122" w:type="dxa"/>
          </w:tcPr>
          <w:p w14:paraId="1C1E0569" w14:textId="77777777" w:rsidR="003C4A21" w:rsidRPr="003C4A21" w:rsidRDefault="003C4A21" w:rsidP="003C4A21">
            <w:pPr>
              <w:rPr>
                <w:rFonts w:ascii="Arial" w:hAnsi="Arial" w:cs="Arial"/>
                <w:sz w:val="24"/>
                <w:szCs w:val="24"/>
              </w:rPr>
            </w:pPr>
            <w:r w:rsidRPr="003C4A21">
              <w:rPr>
                <w:rFonts w:ascii="Arial" w:hAnsi="Arial" w:cs="Arial"/>
                <w:sz w:val="24"/>
                <w:szCs w:val="24"/>
              </w:rPr>
              <w:t>Quality Assurance Strategy for Oversight of Current Investigations</w:t>
            </w:r>
          </w:p>
          <w:p w14:paraId="3BC91E32" w14:textId="4418B231" w:rsidR="00532610" w:rsidRPr="003C4A21" w:rsidRDefault="00532610" w:rsidP="00532610">
            <w:pPr>
              <w:rPr>
                <w:rFonts w:ascii="Arial" w:hAnsi="Arial" w:cs="Arial"/>
                <w:sz w:val="24"/>
                <w:szCs w:val="24"/>
              </w:rPr>
            </w:pPr>
          </w:p>
          <w:p w14:paraId="1593784E" w14:textId="41CBA015" w:rsidR="005A7896" w:rsidRPr="003C4A21" w:rsidRDefault="005A7896" w:rsidP="002D2B5E">
            <w:pPr>
              <w:textAlignment w:val="baseline"/>
              <w:rPr>
                <w:rFonts w:ascii="Arial" w:hAnsi="Arial" w:cs="Arial"/>
                <w:sz w:val="24"/>
                <w:szCs w:val="24"/>
              </w:rPr>
            </w:pPr>
          </w:p>
        </w:tc>
        <w:tc>
          <w:tcPr>
            <w:tcW w:w="1659" w:type="dxa"/>
          </w:tcPr>
          <w:p w14:paraId="557B1357" w14:textId="094181A3" w:rsidR="005A7896" w:rsidRPr="003C4A21" w:rsidRDefault="003C4A21" w:rsidP="003C4A21">
            <w:pPr>
              <w:jc w:val="center"/>
              <w:textAlignment w:val="baseline"/>
              <w:rPr>
                <w:rFonts w:ascii="Arial" w:eastAsia="Times New Roman" w:hAnsi="Arial" w:cs="Arial"/>
                <w:sz w:val="24"/>
                <w:szCs w:val="24"/>
              </w:rPr>
            </w:pPr>
            <w:r w:rsidRPr="003C4A21">
              <w:rPr>
                <w:rFonts w:ascii="Arial" w:eastAsia="Times New Roman" w:hAnsi="Arial" w:cs="Arial"/>
                <w:sz w:val="24"/>
                <w:szCs w:val="24"/>
              </w:rPr>
              <w:t>14</w:t>
            </w:r>
            <w:r w:rsidR="00532610" w:rsidRPr="003C4A21">
              <w:rPr>
                <w:rFonts w:ascii="Arial" w:eastAsia="Times New Roman" w:hAnsi="Arial" w:cs="Arial"/>
                <w:sz w:val="24"/>
                <w:szCs w:val="24"/>
              </w:rPr>
              <w:t>/</w:t>
            </w:r>
            <w:r w:rsidRPr="003C4A21">
              <w:rPr>
                <w:rFonts w:ascii="Arial" w:eastAsia="Times New Roman" w:hAnsi="Arial" w:cs="Arial"/>
                <w:sz w:val="24"/>
                <w:szCs w:val="24"/>
              </w:rPr>
              <w:t>10</w:t>
            </w:r>
            <w:r w:rsidR="00532610" w:rsidRPr="003C4A21">
              <w:rPr>
                <w:rFonts w:ascii="Arial" w:eastAsia="Times New Roman" w:hAnsi="Arial" w:cs="Arial"/>
                <w:sz w:val="24"/>
                <w:szCs w:val="24"/>
              </w:rPr>
              <w:t>/2024</w:t>
            </w:r>
          </w:p>
        </w:tc>
        <w:tc>
          <w:tcPr>
            <w:tcW w:w="6279" w:type="dxa"/>
          </w:tcPr>
          <w:p w14:paraId="0D2596BB" w14:textId="48761681" w:rsidR="003C4A21" w:rsidRPr="003C4A21" w:rsidRDefault="003C4A21" w:rsidP="003C4A21">
            <w:pPr>
              <w:rPr>
                <w:rFonts w:ascii="Arial" w:hAnsi="Arial" w:cs="Arial"/>
                <w:sz w:val="24"/>
                <w:szCs w:val="24"/>
                <w:lang w:val="en-US"/>
              </w:rPr>
            </w:pPr>
            <w:r>
              <w:rPr>
                <w:rFonts w:ascii="Arial" w:hAnsi="Arial" w:cs="Arial"/>
                <w:sz w:val="24"/>
                <w:szCs w:val="24"/>
                <w:lang w:val="en-US"/>
              </w:rPr>
              <w:t>This s</w:t>
            </w:r>
            <w:bookmarkStart w:id="0" w:name="_GoBack"/>
            <w:bookmarkEnd w:id="0"/>
            <w:r w:rsidRPr="003C4A21">
              <w:rPr>
                <w:rFonts w:ascii="Arial" w:hAnsi="Arial" w:cs="Arial"/>
                <w:sz w:val="24"/>
                <w:szCs w:val="24"/>
                <w:lang w:val="en-US"/>
              </w:rPr>
              <w:t>trategy outlines how investigations are reviewed and supervised whilst they are on-going.</w:t>
            </w:r>
          </w:p>
          <w:p w14:paraId="6DA1C3A0" w14:textId="7A6B9AFB" w:rsidR="005A7896" w:rsidRPr="003C4A21" w:rsidRDefault="005A7896" w:rsidP="00532610">
            <w:pPr>
              <w:rPr>
                <w:rFonts w:ascii="Arial" w:hAnsi="Arial" w:cs="Arial"/>
                <w:sz w:val="24"/>
                <w:szCs w:val="24"/>
              </w:rPr>
            </w:pPr>
          </w:p>
        </w:tc>
        <w:tc>
          <w:tcPr>
            <w:tcW w:w="2976" w:type="dxa"/>
          </w:tcPr>
          <w:p w14:paraId="71DAB4DA" w14:textId="2DCA8A78" w:rsidR="005A7896" w:rsidRPr="003C4A21" w:rsidRDefault="005A7896" w:rsidP="00F94544">
            <w:pPr>
              <w:textAlignment w:val="baseline"/>
              <w:rPr>
                <w:rFonts w:ascii="Arial" w:eastAsia="Times New Roman" w:hAnsi="Arial" w:cs="Arial"/>
                <w:sz w:val="24"/>
                <w:szCs w:val="24"/>
              </w:rPr>
            </w:pPr>
            <w:r w:rsidRPr="003C4A21">
              <w:rPr>
                <w:rFonts w:ascii="Arial" w:eastAsia="Times New Roman" w:hAnsi="Arial" w:cs="Arial"/>
                <w:sz w:val="24"/>
                <w:szCs w:val="24"/>
              </w:rPr>
              <w:t>Screened Out</w:t>
            </w:r>
          </w:p>
        </w:tc>
      </w:tr>
    </w:tbl>
    <w:p w14:paraId="3EF2BD0D" w14:textId="010B4C60" w:rsidR="00D56B47" w:rsidRDefault="00D56B47" w:rsidP="00D56B47">
      <w:pPr>
        <w:rPr>
          <w:rFonts w:ascii="Calibri" w:eastAsia="Times New Roman" w:hAnsi="Calibri" w:cs="Calibri"/>
        </w:rPr>
      </w:pPr>
    </w:p>
    <w:sectPr w:rsidR="00D56B47" w:rsidSect="00F9454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5861D" w14:textId="77777777" w:rsidR="001742E6" w:rsidRDefault="001742E6" w:rsidP="00740D53">
      <w:pPr>
        <w:spacing w:after="0" w:line="240" w:lineRule="auto"/>
      </w:pPr>
      <w:r>
        <w:separator/>
      </w:r>
    </w:p>
  </w:endnote>
  <w:endnote w:type="continuationSeparator" w:id="0">
    <w:p w14:paraId="381C15FD" w14:textId="77777777" w:rsidR="001742E6" w:rsidRDefault="001742E6" w:rsidP="0074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20940"/>
      <w:docPartObj>
        <w:docPartGallery w:val="Page Numbers (Bottom of Page)"/>
        <w:docPartUnique/>
      </w:docPartObj>
    </w:sdtPr>
    <w:sdtEndPr>
      <w:rPr>
        <w:noProof/>
      </w:rPr>
    </w:sdtEndPr>
    <w:sdtContent>
      <w:p w14:paraId="56F3527D" w14:textId="2C81A834" w:rsidR="00740D53" w:rsidRDefault="00740D53">
        <w:pPr>
          <w:pStyle w:val="Footer"/>
          <w:jc w:val="center"/>
        </w:pPr>
        <w:r>
          <w:fldChar w:fldCharType="begin"/>
        </w:r>
        <w:r>
          <w:instrText xml:space="preserve"> PAGE   \* MERGEFORMAT </w:instrText>
        </w:r>
        <w:r>
          <w:fldChar w:fldCharType="separate"/>
        </w:r>
        <w:r w:rsidR="003C4A21">
          <w:rPr>
            <w:noProof/>
          </w:rPr>
          <w:t>1</w:t>
        </w:r>
        <w:r>
          <w:rPr>
            <w:noProof/>
          </w:rPr>
          <w:fldChar w:fldCharType="end"/>
        </w:r>
      </w:p>
    </w:sdtContent>
  </w:sdt>
  <w:p w14:paraId="6E35D776" w14:textId="77777777" w:rsidR="00740D53" w:rsidRDefault="0074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90E3" w14:textId="77777777" w:rsidR="001742E6" w:rsidRDefault="001742E6" w:rsidP="00740D53">
      <w:pPr>
        <w:spacing w:after="0" w:line="240" w:lineRule="auto"/>
      </w:pPr>
      <w:r>
        <w:separator/>
      </w:r>
    </w:p>
  </w:footnote>
  <w:footnote w:type="continuationSeparator" w:id="0">
    <w:p w14:paraId="635D14B7" w14:textId="77777777" w:rsidR="001742E6" w:rsidRDefault="001742E6" w:rsidP="0074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425"/>
    <w:multiLevelType w:val="hybridMultilevel"/>
    <w:tmpl w:val="E94EE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D5268"/>
    <w:multiLevelType w:val="hybridMultilevel"/>
    <w:tmpl w:val="357419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F90A51"/>
    <w:multiLevelType w:val="hybridMultilevel"/>
    <w:tmpl w:val="0BE2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70322C"/>
    <w:multiLevelType w:val="hybridMultilevel"/>
    <w:tmpl w:val="63C292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1C90898"/>
    <w:multiLevelType w:val="hybridMultilevel"/>
    <w:tmpl w:val="C266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D02F3A"/>
    <w:multiLevelType w:val="hybridMultilevel"/>
    <w:tmpl w:val="0A56DF68"/>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54AD488A"/>
    <w:multiLevelType w:val="hybridMultilevel"/>
    <w:tmpl w:val="1DA0D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EA4BE6"/>
    <w:multiLevelType w:val="hybridMultilevel"/>
    <w:tmpl w:val="1C6E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03"/>
    <w:rsid w:val="000128BF"/>
    <w:rsid w:val="001742E6"/>
    <w:rsid w:val="00185F13"/>
    <w:rsid w:val="001B7989"/>
    <w:rsid w:val="00213F66"/>
    <w:rsid w:val="002152CE"/>
    <w:rsid w:val="00280F1A"/>
    <w:rsid w:val="002C2303"/>
    <w:rsid w:val="002D2726"/>
    <w:rsid w:val="002F29DA"/>
    <w:rsid w:val="0039504B"/>
    <w:rsid w:val="003C4A21"/>
    <w:rsid w:val="003D4B67"/>
    <w:rsid w:val="00402A11"/>
    <w:rsid w:val="004A41AD"/>
    <w:rsid w:val="004E3645"/>
    <w:rsid w:val="004E6203"/>
    <w:rsid w:val="00532610"/>
    <w:rsid w:val="00560933"/>
    <w:rsid w:val="005A7896"/>
    <w:rsid w:val="00630C3E"/>
    <w:rsid w:val="006D7945"/>
    <w:rsid w:val="006E202C"/>
    <w:rsid w:val="00740D53"/>
    <w:rsid w:val="00782A0F"/>
    <w:rsid w:val="007B30F3"/>
    <w:rsid w:val="008064DC"/>
    <w:rsid w:val="00836743"/>
    <w:rsid w:val="00883C2F"/>
    <w:rsid w:val="008952F7"/>
    <w:rsid w:val="009B2173"/>
    <w:rsid w:val="009B54C5"/>
    <w:rsid w:val="009C75F2"/>
    <w:rsid w:val="009F2D7C"/>
    <w:rsid w:val="00A24A8B"/>
    <w:rsid w:val="00AB36AC"/>
    <w:rsid w:val="00AE1268"/>
    <w:rsid w:val="00AE44A3"/>
    <w:rsid w:val="00B01821"/>
    <w:rsid w:val="00B12DBD"/>
    <w:rsid w:val="00B96F73"/>
    <w:rsid w:val="00BC6CF0"/>
    <w:rsid w:val="00BE6AAD"/>
    <w:rsid w:val="00C86884"/>
    <w:rsid w:val="00CB190D"/>
    <w:rsid w:val="00CC1C38"/>
    <w:rsid w:val="00D12C28"/>
    <w:rsid w:val="00D56B47"/>
    <w:rsid w:val="00D74F5F"/>
    <w:rsid w:val="00DA7CE9"/>
    <w:rsid w:val="00DF5387"/>
    <w:rsid w:val="00E2350E"/>
    <w:rsid w:val="00E8295B"/>
    <w:rsid w:val="00EC18B6"/>
    <w:rsid w:val="00F03BA5"/>
    <w:rsid w:val="00F32726"/>
    <w:rsid w:val="00F55D29"/>
    <w:rsid w:val="00F81301"/>
    <w:rsid w:val="00F94544"/>
    <w:rsid w:val="00FE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4C6D"/>
  <w15:chartTrackingRefBased/>
  <w15:docId w15:val="{F721E15E-6D5E-4F8F-A733-C9019980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2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85F13"/>
  </w:style>
  <w:style w:type="paragraph" w:styleId="NoSpacing">
    <w:name w:val="No Spacing"/>
    <w:link w:val="NoSpacingChar"/>
    <w:uiPriority w:val="1"/>
    <w:qFormat/>
    <w:rsid w:val="00185F13"/>
    <w:pPr>
      <w:spacing w:after="0" w:line="240" w:lineRule="auto"/>
    </w:pPr>
  </w:style>
  <w:style w:type="paragraph" w:styleId="NormalWeb">
    <w:name w:val="Normal (Web)"/>
    <w:basedOn w:val="Normal"/>
    <w:uiPriority w:val="99"/>
    <w:unhideWhenUsed/>
    <w:rsid w:val="008952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GB"/>
    </w:rPr>
  </w:style>
  <w:style w:type="paragraph" w:styleId="ListParagraph">
    <w:name w:val="List Paragraph"/>
    <w:aliases w:val="Table Figure,Dot pt,No Spacing1,List Paragraph Char Char Char,Indicator Text,Numbered Para 1,List Paragraph1,Bullet Points,MAIN CONTENT,Bullet Style,List Paragraph2,OBC Bullet,List Paragraph11,List Paragraph12,F5 List Paragraph"/>
    <w:basedOn w:val="Normal"/>
    <w:link w:val="ListParagraphChar"/>
    <w:uiPriority w:val="34"/>
    <w:qFormat/>
    <w:rsid w:val="00D56B47"/>
    <w:pPr>
      <w:spacing w:after="0" w:line="240" w:lineRule="auto"/>
      <w:ind w:left="720"/>
      <w:contextualSpacing/>
    </w:pPr>
    <w:rPr>
      <w:rFonts w:ascii="Arial" w:eastAsia="Times New Roman" w:hAnsi="Arial" w:cs="Times New Roman"/>
      <w:sz w:val="24"/>
      <w:szCs w:val="20"/>
    </w:rPr>
  </w:style>
  <w:style w:type="character" w:customStyle="1" w:styleId="ListParagraphChar">
    <w:name w:val="List Paragraph Char"/>
    <w:aliases w:val="Table Figure Char,Dot pt Char,No Spacing1 Char,List Paragraph Char Char Char Char,Indicator Text Char,Numbered Para 1 Char,List Paragraph1 Char,Bullet Points Char,MAIN CONTENT Char,Bullet Style Char,List Paragraph2 Char"/>
    <w:link w:val="ListParagraph"/>
    <w:uiPriority w:val="34"/>
    <w:qFormat/>
    <w:locked/>
    <w:rsid w:val="0039504B"/>
    <w:rPr>
      <w:rFonts w:ascii="Arial" w:eastAsia="Times New Roman" w:hAnsi="Arial" w:cs="Times New Roman"/>
      <w:sz w:val="24"/>
      <w:szCs w:val="20"/>
      <w:lang w:val="en-GB"/>
    </w:rPr>
  </w:style>
  <w:style w:type="paragraph" w:styleId="Header">
    <w:name w:val="header"/>
    <w:basedOn w:val="Normal"/>
    <w:link w:val="HeaderChar"/>
    <w:uiPriority w:val="99"/>
    <w:unhideWhenUsed/>
    <w:rsid w:val="00740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53"/>
    <w:rPr>
      <w:lang w:val="en-GB"/>
    </w:rPr>
  </w:style>
  <w:style w:type="paragraph" w:styleId="Footer">
    <w:name w:val="footer"/>
    <w:basedOn w:val="Normal"/>
    <w:link w:val="FooterChar"/>
    <w:uiPriority w:val="99"/>
    <w:unhideWhenUsed/>
    <w:rsid w:val="00740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83">
      <w:bodyDiv w:val="1"/>
      <w:marLeft w:val="0"/>
      <w:marRight w:val="0"/>
      <w:marTop w:val="0"/>
      <w:marBottom w:val="0"/>
      <w:divBdr>
        <w:top w:val="none" w:sz="0" w:space="0" w:color="auto"/>
        <w:left w:val="none" w:sz="0" w:space="0" w:color="auto"/>
        <w:bottom w:val="none" w:sz="0" w:space="0" w:color="auto"/>
        <w:right w:val="none" w:sz="0" w:space="0" w:color="auto"/>
      </w:divBdr>
    </w:div>
    <w:div w:id="154416520">
      <w:bodyDiv w:val="1"/>
      <w:marLeft w:val="0"/>
      <w:marRight w:val="0"/>
      <w:marTop w:val="0"/>
      <w:marBottom w:val="0"/>
      <w:divBdr>
        <w:top w:val="none" w:sz="0" w:space="0" w:color="auto"/>
        <w:left w:val="none" w:sz="0" w:space="0" w:color="auto"/>
        <w:bottom w:val="none" w:sz="0" w:space="0" w:color="auto"/>
        <w:right w:val="none" w:sz="0" w:space="0" w:color="auto"/>
      </w:divBdr>
    </w:div>
    <w:div w:id="340939872">
      <w:bodyDiv w:val="1"/>
      <w:marLeft w:val="0"/>
      <w:marRight w:val="0"/>
      <w:marTop w:val="0"/>
      <w:marBottom w:val="0"/>
      <w:divBdr>
        <w:top w:val="none" w:sz="0" w:space="0" w:color="auto"/>
        <w:left w:val="none" w:sz="0" w:space="0" w:color="auto"/>
        <w:bottom w:val="none" w:sz="0" w:space="0" w:color="auto"/>
        <w:right w:val="none" w:sz="0" w:space="0" w:color="auto"/>
      </w:divBdr>
    </w:div>
    <w:div w:id="661157435">
      <w:bodyDiv w:val="1"/>
      <w:marLeft w:val="0"/>
      <w:marRight w:val="0"/>
      <w:marTop w:val="0"/>
      <w:marBottom w:val="0"/>
      <w:divBdr>
        <w:top w:val="none" w:sz="0" w:space="0" w:color="auto"/>
        <w:left w:val="none" w:sz="0" w:space="0" w:color="auto"/>
        <w:bottom w:val="none" w:sz="0" w:space="0" w:color="auto"/>
        <w:right w:val="none" w:sz="0" w:space="0" w:color="auto"/>
      </w:divBdr>
    </w:div>
    <w:div w:id="849177013">
      <w:bodyDiv w:val="1"/>
      <w:marLeft w:val="0"/>
      <w:marRight w:val="0"/>
      <w:marTop w:val="0"/>
      <w:marBottom w:val="0"/>
      <w:divBdr>
        <w:top w:val="none" w:sz="0" w:space="0" w:color="auto"/>
        <w:left w:val="none" w:sz="0" w:space="0" w:color="auto"/>
        <w:bottom w:val="none" w:sz="0" w:space="0" w:color="auto"/>
        <w:right w:val="none" w:sz="0" w:space="0" w:color="auto"/>
      </w:divBdr>
    </w:div>
    <w:div w:id="15757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1108</Characters>
  <Application>Microsoft Office Word</Application>
  <DocSecurity>0</DocSecurity>
  <Lines>55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dc:creator>
  <cp:keywords/>
  <dc:description/>
  <cp:lastModifiedBy>Mezza, Ursula (OPONI)</cp:lastModifiedBy>
  <cp:revision>3</cp:revision>
  <dcterms:created xsi:type="dcterms:W3CDTF">2024-10-24T19:08:00Z</dcterms:created>
  <dcterms:modified xsi:type="dcterms:W3CDTF">2024-10-24T19:12:00Z</dcterms:modified>
</cp:coreProperties>
</file>