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B820" w14:textId="77777777" w:rsidR="008B4A6F" w:rsidRDefault="008B4A6F" w:rsidP="008B4A6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DESCRIPTION</w:t>
      </w:r>
    </w:p>
    <w:p w14:paraId="785B80E8" w14:textId="77777777" w:rsidR="008B4A6F" w:rsidRDefault="008B4A6F" w:rsidP="008B4A6F">
      <w:pPr>
        <w:pStyle w:val="NoSpacing"/>
        <w:rPr>
          <w:rFonts w:ascii="Arial" w:hAnsi="Arial" w:cs="Arial"/>
        </w:rPr>
      </w:pPr>
    </w:p>
    <w:p w14:paraId="696D49F3" w14:textId="77777777" w:rsidR="008B4A6F" w:rsidRDefault="008B4A6F" w:rsidP="008B4A6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Title of Post: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Investigation Officer </w:t>
      </w:r>
    </w:p>
    <w:p w14:paraId="20BAF148" w14:textId="77777777" w:rsidR="008B4A6F" w:rsidRDefault="008B4A6F" w:rsidP="008B4A6F">
      <w:pPr>
        <w:pStyle w:val="NoSpacing"/>
        <w:rPr>
          <w:rFonts w:ascii="Arial" w:hAnsi="Arial" w:cs="Arial"/>
        </w:rPr>
      </w:pPr>
    </w:p>
    <w:p w14:paraId="3EC71041" w14:textId="77777777" w:rsidR="008B4A6F" w:rsidRDefault="008B4A6F" w:rsidP="008B4A6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Reports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Deputy Senior Investigation Officer </w:t>
      </w:r>
    </w:p>
    <w:p w14:paraId="75C750D2" w14:textId="77777777" w:rsidR="008B4A6F" w:rsidRDefault="008B4A6F" w:rsidP="008B4A6F">
      <w:pPr>
        <w:pStyle w:val="NoSpacing"/>
        <w:rPr>
          <w:rFonts w:ascii="Arial" w:hAnsi="Arial" w:cs="Arial"/>
        </w:rPr>
      </w:pPr>
    </w:p>
    <w:p w14:paraId="7A7485DE" w14:textId="77777777" w:rsidR="008B4A6F" w:rsidRDefault="008B4A6F" w:rsidP="008B4A6F">
      <w:pPr>
        <w:pStyle w:val="NoSpacing"/>
        <w:rPr>
          <w:rFonts w:ascii="Arial" w:hAnsi="Arial" w:cs="Arial"/>
        </w:rPr>
      </w:pPr>
    </w:p>
    <w:p w14:paraId="63407FF8" w14:textId="77777777" w:rsidR="008B4A6F" w:rsidRDefault="008B4A6F" w:rsidP="008B4A6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</w:t>
      </w:r>
    </w:p>
    <w:p w14:paraId="3C7A43B5" w14:textId="77777777" w:rsidR="008B4A6F" w:rsidRDefault="008B4A6F" w:rsidP="008B4A6F">
      <w:pPr>
        <w:pStyle w:val="NoSpacing"/>
        <w:rPr>
          <w:rFonts w:ascii="Arial" w:hAnsi="Arial" w:cs="Arial"/>
          <w:u w:val="single"/>
        </w:rPr>
      </w:pPr>
    </w:p>
    <w:p w14:paraId="39843ED6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role of the Investigation Officer is to investigate </w:t>
      </w:r>
      <w:r>
        <w:rPr>
          <w:rFonts w:ascii="Arial" w:hAnsi="Arial" w:cs="Arial"/>
        </w:rPr>
        <w:t xml:space="preserve">allocated cases, ensuring all </w:t>
      </w:r>
      <w:r w:rsidR="00367461">
        <w:rPr>
          <w:rFonts w:ascii="Arial" w:hAnsi="Arial" w:cs="Arial"/>
        </w:rPr>
        <w:t xml:space="preserve">reasonable lines of enquiry </w:t>
      </w:r>
      <w:proofErr w:type="gramStart"/>
      <w:r w:rsidR="00367461">
        <w:rPr>
          <w:rFonts w:ascii="Arial" w:hAnsi="Arial" w:cs="Arial"/>
        </w:rPr>
        <w:t>are pursued</w:t>
      </w:r>
      <w:proofErr w:type="gramEnd"/>
      <w:r>
        <w:rPr>
          <w:rFonts w:ascii="Arial" w:hAnsi="Arial" w:cs="Arial"/>
        </w:rPr>
        <w:t xml:space="preserve">, including visiting incident scenes, taking statements, and the provision of high quality reports including making appropriate recommendations based on evidence gathered. </w:t>
      </w:r>
    </w:p>
    <w:p w14:paraId="216B678B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30700422" w14:textId="77777777" w:rsidR="008B4A6F" w:rsidRDefault="008B4A6F" w:rsidP="008B4A6F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Key Responsibilities </w:t>
      </w:r>
    </w:p>
    <w:p w14:paraId="545B4E83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4DDFE057" w14:textId="77777777" w:rsidR="00367461" w:rsidRDefault="00C94079" w:rsidP="008B4A6F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Upon allocation of cases, develop and implement investigative strategies to include all reasonable lines of enquiry</w:t>
      </w:r>
    </w:p>
    <w:p w14:paraId="20AE40E6" w14:textId="77777777" w:rsidR="00367461" w:rsidRDefault="00367461" w:rsidP="00367461">
      <w:pPr>
        <w:pStyle w:val="NoSpacing"/>
        <w:ind w:left="567"/>
        <w:jc w:val="both"/>
        <w:rPr>
          <w:rFonts w:ascii="Arial" w:hAnsi="Arial" w:cs="Arial"/>
        </w:rPr>
      </w:pPr>
    </w:p>
    <w:p w14:paraId="57FC827B" w14:textId="77777777" w:rsidR="00C94079" w:rsidRDefault="00C94079" w:rsidP="008B4A6F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Gather evidence, conduct</w:t>
      </w:r>
      <w:r w:rsidR="00367461">
        <w:rPr>
          <w:rFonts w:ascii="Arial" w:hAnsi="Arial" w:cs="Arial"/>
        </w:rPr>
        <w:t xml:space="preserve"> investigative interviews</w:t>
      </w:r>
      <w:r w:rsidR="008B4A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visit incident scenes and make relevant records using the case work management system</w:t>
      </w:r>
    </w:p>
    <w:p w14:paraId="0D269B1A" w14:textId="77777777" w:rsidR="002E6B3D" w:rsidRDefault="002E6B3D" w:rsidP="002E6B3D">
      <w:pPr>
        <w:pStyle w:val="ListParagraph"/>
        <w:rPr>
          <w:rFonts w:ascii="Arial" w:hAnsi="Arial" w:cs="Arial"/>
        </w:rPr>
      </w:pPr>
    </w:p>
    <w:p w14:paraId="1D18F5EF" w14:textId="77777777" w:rsidR="002E6B3D" w:rsidRDefault="002E6B3D" w:rsidP="008B4A6F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legislation, policies and guidance to support investigative decisions and recommendations  </w:t>
      </w:r>
    </w:p>
    <w:p w14:paraId="619FA238" w14:textId="77777777" w:rsidR="00C94079" w:rsidRDefault="00C94079" w:rsidP="00C94079">
      <w:pPr>
        <w:pStyle w:val="ListParagraph"/>
        <w:rPr>
          <w:rFonts w:ascii="Arial" w:hAnsi="Arial" w:cs="Arial"/>
        </w:rPr>
      </w:pPr>
    </w:p>
    <w:p w14:paraId="441F3ABA" w14:textId="77777777" w:rsidR="00C94079" w:rsidRDefault="00C94079" w:rsidP="00C94079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B4A6F" w:rsidRPr="00C94079">
        <w:rPr>
          <w:rFonts w:ascii="Arial" w:hAnsi="Arial" w:cs="Arial"/>
        </w:rPr>
        <w:t>ak</w:t>
      </w:r>
      <w:r w:rsidRPr="00C94079">
        <w:rPr>
          <w:rFonts w:ascii="Arial" w:hAnsi="Arial" w:cs="Arial"/>
        </w:rPr>
        <w:t>e</w:t>
      </w:r>
      <w:r w:rsidR="008B4A6F" w:rsidRPr="00C94079">
        <w:rPr>
          <w:rFonts w:ascii="Arial" w:hAnsi="Arial" w:cs="Arial"/>
        </w:rPr>
        <w:t xml:space="preserve"> </w:t>
      </w:r>
      <w:r w:rsidR="00367461" w:rsidRPr="00C94079">
        <w:rPr>
          <w:rFonts w:ascii="Arial" w:hAnsi="Arial" w:cs="Arial"/>
        </w:rPr>
        <w:t xml:space="preserve">evidence based </w:t>
      </w:r>
      <w:r w:rsidR="008B4A6F" w:rsidRPr="00C94079">
        <w:rPr>
          <w:rFonts w:ascii="Arial" w:hAnsi="Arial" w:cs="Arial"/>
        </w:rPr>
        <w:t>recommendations for c</w:t>
      </w:r>
      <w:r>
        <w:rPr>
          <w:rFonts w:ascii="Arial" w:hAnsi="Arial" w:cs="Arial"/>
        </w:rPr>
        <w:t>riminal and disciplinary action</w:t>
      </w:r>
    </w:p>
    <w:p w14:paraId="7D1CB920" w14:textId="77777777" w:rsidR="00C94079" w:rsidRDefault="00C94079" w:rsidP="00C94079">
      <w:pPr>
        <w:pStyle w:val="ListParagraph"/>
        <w:rPr>
          <w:rFonts w:ascii="Arial" w:hAnsi="Arial" w:cs="Arial"/>
          <w:color w:val="FF0000"/>
        </w:rPr>
      </w:pPr>
    </w:p>
    <w:p w14:paraId="51F6EC5F" w14:textId="77777777" w:rsidR="00C94079" w:rsidRPr="00C94079" w:rsidRDefault="00C94079" w:rsidP="00C94079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C94079">
        <w:rPr>
          <w:rFonts w:ascii="Arial" w:hAnsi="Arial" w:cs="Arial"/>
        </w:rPr>
        <w:t xml:space="preserve">Prepare quality reports for submission </w:t>
      </w:r>
      <w:r w:rsidR="001F7BDA">
        <w:rPr>
          <w:rFonts w:ascii="Arial" w:hAnsi="Arial" w:cs="Arial"/>
        </w:rPr>
        <w:t xml:space="preserve">to </w:t>
      </w:r>
      <w:r w:rsidRPr="00C94079">
        <w:rPr>
          <w:rFonts w:ascii="Arial" w:hAnsi="Arial" w:cs="Arial"/>
        </w:rPr>
        <w:t>internal and external stakeholders as required.</w:t>
      </w:r>
    </w:p>
    <w:p w14:paraId="08D6DA26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357B8AEB" w14:textId="0976DF98" w:rsidR="002E6B3D" w:rsidRDefault="008B4A6F" w:rsidP="002E6B3D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Call </w:t>
      </w:r>
      <w:r w:rsidR="00367461">
        <w:rPr>
          <w:rFonts w:ascii="Arial" w:hAnsi="Arial" w:cs="Arial"/>
        </w:rPr>
        <w:t xml:space="preserve">support (currently every 1 in </w:t>
      </w:r>
      <w:r w:rsidR="0030534C" w:rsidRPr="0030534C">
        <w:rPr>
          <w:rFonts w:ascii="Arial" w:hAnsi="Arial" w:cs="Arial"/>
        </w:rPr>
        <w:t>7</w:t>
      </w:r>
      <w:r w:rsidR="0030534C">
        <w:rPr>
          <w:rFonts w:ascii="Arial" w:hAnsi="Arial" w:cs="Arial"/>
          <w:color w:val="FF0000"/>
        </w:rPr>
        <w:t xml:space="preserve"> </w:t>
      </w:r>
      <w:r w:rsidR="00367461">
        <w:rPr>
          <w:rFonts w:ascii="Arial" w:hAnsi="Arial" w:cs="Arial"/>
        </w:rPr>
        <w:t xml:space="preserve">weeks) </w:t>
      </w:r>
      <w:r>
        <w:rPr>
          <w:rFonts w:ascii="Arial" w:hAnsi="Arial" w:cs="Arial"/>
        </w:rPr>
        <w:t>to critical incidents, including times when not normally scheduled to work, e.g. night, weekends, and public holidays.</w:t>
      </w:r>
    </w:p>
    <w:p w14:paraId="5F8D2C2A" w14:textId="77777777" w:rsidR="002E6B3D" w:rsidRDefault="002E6B3D" w:rsidP="002E6B3D">
      <w:pPr>
        <w:pStyle w:val="ListParagraph"/>
        <w:rPr>
          <w:rFonts w:ascii="Arial" w:hAnsi="Arial" w:cs="Arial"/>
        </w:rPr>
      </w:pPr>
    </w:p>
    <w:p w14:paraId="45E43C72" w14:textId="77777777" w:rsidR="002E6B3D" w:rsidRPr="002E6B3D" w:rsidRDefault="008B4A6F" w:rsidP="002E6B3D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2E6B3D">
        <w:rPr>
          <w:rFonts w:ascii="Arial" w:hAnsi="Arial" w:cs="Arial"/>
        </w:rPr>
        <w:t>To</w:t>
      </w:r>
      <w:r w:rsidR="002E6B3D" w:rsidRPr="002E6B3D">
        <w:rPr>
          <w:rFonts w:ascii="Arial" w:hAnsi="Arial" w:cs="Arial"/>
        </w:rPr>
        <w:t xml:space="preserve"> handle all information and </w:t>
      </w:r>
      <w:r w:rsidRPr="002E6B3D">
        <w:rPr>
          <w:rFonts w:ascii="Arial" w:hAnsi="Arial" w:cs="Arial"/>
        </w:rPr>
        <w:t>records</w:t>
      </w:r>
      <w:r w:rsidR="002E6B3D" w:rsidRPr="002E6B3D">
        <w:rPr>
          <w:rFonts w:ascii="Arial" w:hAnsi="Arial" w:cs="Arial"/>
        </w:rPr>
        <w:t xml:space="preserve"> </w:t>
      </w:r>
      <w:r w:rsidR="002E6B3D">
        <w:rPr>
          <w:rFonts w:ascii="Arial" w:hAnsi="Arial" w:cs="Arial"/>
        </w:rPr>
        <w:t xml:space="preserve">with integrity, maintaining confidentiality and </w:t>
      </w:r>
      <w:r w:rsidR="002E6B3D" w:rsidRPr="002E6B3D">
        <w:rPr>
          <w:rFonts w:ascii="Arial" w:hAnsi="Arial" w:cs="Arial"/>
        </w:rPr>
        <w:t>in accordance with General Data Protection Regulations (GDPR) and the Data Protection Act 2018.</w:t>
      </w:r>
    </w:p>
    <w:p w14:paraId="5FEFBE8C" w14:textId="77777777" w:rsidR="008B4A6F" w:rsidRPr="002E6B3D" w:rsidRDefault="008B4A6F" w:rsidP="002E6B3D">
      <w:pPr>
        <w:pStyle w:val="NoSpacing"/>
        <w:rPr>
          <w:rFonts w:ascii="Arial" w:hAnsi="Arial" w:cs="Arial"/>
        </w:rPr>
      </w:pPr>
    </w:p>
    <w:p w14:paraId="0B6DF899" w14:textId="77777777" w:rsidR="008B4A6F" w:rsidRDefault="008B4A6F" w:rsidP="008B4A6F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 have due regard to the need to promote equality of opportunity between:</w:t>
      </w:r>
    </w:p>
    <w:p w14:paraId="14E6C31A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73D774CA" w14:textId="77777777" w:rsidR="008B4A6F" w:rsidRDefault="008B4A6F" w:rsidP="008B4A6F">
      <w:pPr>
        <w:pStyle w:val="NoSpacing"/>
        <w:numPr>
          <w:ilvl w:val="0"/>
          <w:numId w:val="2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Persons of different religious belief, political opinion, racial group, age, marital status or sexual orientation;</w:t>
      </w:r>
    </w:p>
    <w:p w14:paraId="2BA85A00" w14:textId="77777777" w:rsidR="008B4A6F" w:rsidRDefault="008B4A6F" w:rsidP="008B4A6F">
      <w:pPr>
        <w:pStyle w:val="NoSpacing"/>
        <w:numPr>
          <w:ilvl w:val="0"/>
          <w:numId w:val="2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Men and women in general;</w:t>
      </w:r>
    </w:p>
    <w:p w14:paraId="74918C23" w14:textId="77777777" w:rsidR="008B4A6F" w:rsidRDefault="008B4A6F" w:rsidP="008B4A6F">
      <w:pPr>
        <w:pStyle w:val="NoSpacing"/>
        <w:numPr>
          <w:ilvl w:val="0"/>
          <w:numId w:val="2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Persons with a disability and persons without;</w:t>
      </w:r>
    </w:p>
    <w:p w14:paraId="0EBA0843" w14:textId="77777777" w:rsidR="008B4A6F" w:rsidRDefault="008B4A6F" w:rsidP="008B4A6F">
      <w:pPr>
        <w:pStyle w:val="NoSpacing"/>
        <w:numPr>
          <w:ilvl w:val="0"/>
          <w:numId w:val="2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Persons with dependants and persons without.</w:t>
      </w:r>
    </w:p>
    <w:p w14:paraId="11DBBB66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35B0EF5A" w14:textId="77777777" w:rsidR="008B4A6F" w:rsidRDefault="008B4A6F" w:rsidP="008B4A6F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Uphold the principles of the Ombudsman’s Office and discharge their duties in line with the Ombudsman’s Code of Ethics.</w:t>
      </w:r>
    </w:p>
    <w:p w14:paraId="5FDB2B7B" w14:textId="77777777" w:rsidR="008B4A6F" w:rsidRDefault="008B4A6F" w:rsidP="008B4A6F">
      <w:pPr>
        <w:pStyle w:val="NoSpacing"/>
        <w:ind w:left="360"/>
        <w:jc w:val="both"/>
        <w:rPr>
          <w:rFonts w:ascii="Arial" w:hAnsi="Arial" w:cs="Arial"/>
        </w:rPr>
      </w:pPr>
    </w:p>
    <w:p w14:paraId="761FFB13" w14:textId="77777777" w:rsidR="008B4A6F" w:rsidRDefault="008B4A6F" w:rsidP="008B4A6F">
      <w:pPr>
        <w:pStyle w:val="NoSpacing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 other relevant duties appropriate to the grade as may be required including the participation in the interchange of duties within the Ombudsman’s Office.</w:t>
      </w:r>
    </w:p>
    <w:p w14:paraId="43F00F99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6B93389F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09F01604" w14:textId="77777777" w:rsidR="00D176DF" w:rsidRDefault="00D176DF" w:rsidP="00D176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PERSONNEL SPECIFICATION</w:t>
      </w:r>
    </w:p>
    <w:p w14:paraId="5A893A71" w14:textId="77777777" w:rsidR="00D176DF" w:rsidRDefault="00D176DF" w:rsidP="008B4A6F">
      <w:pPr>
        <w:pStyle w:val="NoSpacing"/>
        <w:jc w:val="both"/>
        <w:rPr>
          <w:rFonts w:ascii="Arial" w:hAnsi="Arial" w:cs="Arial"/>
        </w:rPr>
      </w:pPr>
    </w:p>
    <w:p w14:paraId="5D93FA95" w14:textId="77777777" w:rsidR="008B4A6F" w:rsidRDefault="008B4A6F" w:rsidP="008B4A6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Essential Criteria</w:t>
      </w:r>
      <w:r>
        <w:rPr>
          <w:rFonts w:ascii="Arial" w:hAnsi="Arial" w:cs="Arial"/>
          <w:b/>
        </w:rPr>
        <w:t xml:space="preserve"> </w:t>
      </w:r>
    </w:p>
    <w:p w14:paraId="110117CC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71FAB5A3" w14:textId="77777777" w:rsidR="008B4A6F" w:rsidRPr="008B4A6F" w:rsidRDefault="00D176DF" w:rsidP="00D176D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Have a</w:t>
      </w:r>
      <w:r w:rsidR="00392169">
        <w:rPr>
          <w:rFonts w:ascii="Arial" w:hAnsi="Arial" w:cs="Arial"/>
        </w:rPr>
        <w:t xml:space="preserve"> degree level qualification or equivalent and a minimum of 1</w:t>
      </w:r>
      <w:r w:rsidR="008B4A6F" w:rsidRPr="008B4A6F">
        <w:rPr>
          <w:rFonts w:ascii="Arial" w:hAnsi="Arial" w:cs="Arial"/>
        </w:rPr>
        <w:t xml:space="preserve"> years’ established investigative experience gained through criminal justice or equivalent professional investigations.</w:t>
      </w:r>
    </w:p>
    <w:p w14:paraId="3A1727D3" w14:textId="77777777" w:rsidR="008B4A6F" w:rsidRDefault="008B4A6F" w:rsidP="008B4A6F">
      <w:pPr>
        <w:pStyle w:val="NoSpacing"/>
        <w:jc w:val="both"/>
        <w:rPr>
          <w:rFonts w:ascii="Arial" w:hAnsi="Arial" w:cs="Arial"/>
          <w:color w:val="000000"/>
        </w:rPr>
      </w:pPr>
    </w:p>
    <w:p w14:paraId="255F9C00" w14:textId="77777777" w:rsidR="008B4A6F" w:rsidRPr="00D176DF" w:rsidRDefault="008B4A6F" w:rsidP="008B4A6F">
      <w:pPr>
        <w:pStyle w:val="NoSpacing"/>
        <w:ind w:firstLine="567"/>
        <w:jc w:val="both"/>
        <w:rPr>
          <w:rFonts w:ascii="Arial" w:hAnsi="Arial" w:cs="Arial"/>
          <w:b/>
          <w:color w:val="000000"/>
          <w:u w:val="single"/>
        </w:rPr>
      </w:pPr>
      <w:r w:rsidRPr="00D176DF">
        <w:rPr>
          <w:rFonts w:ascii="Arial" w:hAnsi="Arial" w:cs="Arial"/>
          <w:b/>
          <w:color w:val="000000"/>
          <w:u w:val="single"/>
        </w:rPr>
        <w:t>OR</w:t>
      </w:r>
    </w:p>
    <w:p w14:paraId="5FF07760" w14:textId="77777777" w:rsidR="008B4A6F" w:rsidRDefault="008B4A6F" w:rsidP="008B4A6F">
      <w:pPr>
        <w:pStyle w:val="NoSpacing"/>
        <w:jc w:val="both"/>
        <w:rPr>
          <w:rFonts w:ascii="Arial" w:hAnsi="Arial" w:cs="Arial"/>
          <w:color w:val="000000"/>
        </w:rPr>
      </w:pPr>
    </w:p>
    <w:p w14:paraId="272093BD" w14:textId="77777777" w:rsidR="00004009" w:rsidRDefault="008B4A6F" w:rsidP="00D176DF">
      <w:pPr>
        <w:pStyle w:val="NoSpacing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In the absence of the educational q</w:t>
      </w:r>
      <w:r w:rsidR="00392169">
        <w:rPr>
          <w:rFonts w:ascii="Arial" w:hAnsi="Arial" w:cs="Arial"/>
          <w:color w:val="000000"/>
        </w:rPr>
        <w:t>ualification have a minimum of 3</w:t>
      </w:r>
      <w:r>
        <w:rPr>
          <w:rFonts w:ascii="Arial" w:hAnsi="Arial" w:cs="Arial"/>
          <w:color w:val="000000"/>
        </w:rPr>
        <w:t xml:space="preserve"> years </w:t>
      </w:r>
      <w:r w:rsidRPr="008B4A6F">
        <w:rPr>
          <w:rFonts w:ascii="Arial" w:hAnsi="Arial" w:cs="Arial"/>
        </w:rPr>
        <w:t>established investigative experience gained through criminal justice or equival</w:t>
      </w:r>
      <w:r w:rsidR="00004009">
        <w:rPr>
          <w:rFonts w:ascii="Arial" w:hAnsi="Arial" w:cs="Arial"/>
        </w:rPr>
        <w:t xml:space="preserve">ent professional investigations. </w:t>
      </w:r>
    </w:p>
    <w:p w14:paraId="27D088C9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061C59AB" w14:textId="77777777" w:rsidR="00004009" w:rsidRPr="00004009" w:rsidRDefault="00004009" w:rsidP="00D176DF">
      <w:pPr>
        <w:pStyle w:val="NoSpacing"/>
        <w:ind w:left="720"/>
        <w:jc w:val="both"/>
        <w:rPr>
          <w:rFonts w:ascii="Arial" w:hAnsi="Arial" w:cs="Arial"/>
        </w:rPr>
      </w:pPr>
      <w:r w:rsidRPr="00004009">
        <w:rPr>
          <w:rFonts w:ascii="Arial" w:hAnsi="Arial" w:cs="Arial"/>
        </w:rPr>
        <w:t>Investigative experience means demonstrable</w:t>
      </w:r>
      <w:r>
        <w:rPr>
          <w:rFonts w:ascii="Arial" w:hAnsi="Arial" w:cs="Arial"/>
        </w:rPr>
        <w:t xml:space="preserve"> evidence </w:t>
      </w:r>
      <w:proofErr w:type="gramStart"/>
      <w:r>
        <w:rPr>
          <w:rFonts w:ascii="Arial" w:hAnsi="Arial" w:cs="Arial"/>
        </w:rPr>
        <w:t>of</w:t>
      </w:r>
      <w:proofErr w:type="gramEnd"/>
      <w:r w:rsidRPr="00004009">
        <w:rPr>
          <w:rFonts w:ascii="Arial" w:hAnsi="Arial" w:cs="Arial"/>
        </w:rPr>
        <w:t>:</w:t>
      </w:r>
    </w:p>
    <w:p w14:paraId="08A8B603" w14:textId="77777777" w:rsidR="00004009" w:rsidRPr="00004009" w:rsidRDefault="00004009" w:rsidP="00004009">
      <w:pPr>
        <w:pStyle w:val="NoSpacing"/>
        <w:jc w:val="both"/>
        <w:rPr>
          <w:rFonts w:ascii="Arial" w:hAnsi="Arial" w:cs="Arial"/>
        </w:rPr>
      </w:pPr>
    </w:p>
    <w:p w14:paraId="4B5B501B" w14:textId="77777777" w:rsidR="00A23382" w:rsidRDefault="00A23382" w:rsidP="0000400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strong written and oral communication skills to ensure effective working relationships with internal and external stakeholders</w:t>
      </w:r>
    </w:p>
    <w:p w14:paraId="091CEC6F" w14:textId="77777777" w:rsidR="00A23382" w:rsidRDefault="00A23382" w:rsidP="0000400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IT skills with the ability to use a case work management system</w:t>
      </w:r>
    </w:p>
    <w:p w14:paraId="35A722E2" w14:textId="77777777" w:rsidR="00004009" w:rsidRPr="00004009" w:rsidRDefault="00004009" w:rsidP="0000400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009">
        <w:rPr>
          <w:rFonts w:ascii="Arial" w:hAnsi="Arial" w:cs="Arial"/>
        </w:rPr>
        <w:t xml:space="preserve">carrying out </w:t>
      </w:r>
      <w:r>
        <w:rPr>
          <w:rFonts w:ascii="Arial" w:hAnsi="Arial" w:cs="Arial"/>
        </w:rPr>
        <w:t xml:space="preserve">investigative </w:t>
      </w:r>
      <w:r w:rsidRPr="00004009">
        <w:rPr>
          <w:rFonts w:ascii="Arial" w:hAnsi="Arial" w:cs="Arial"/>
        </w:rPr>
        <w:t>interviews</w:t>
      </w:r>
    </w:p>
    <w:p w14:paraId="67F219A8" w14:textId="77777777" w:rsidR="00004009" w:rsidRDefault="00004009" w:rsidP="0000400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analysing a </w:t>
      </w:r>
      <w:r w:rsidRPr="00004009">
        <w:rPr>
          <w:rFonts w:ascii="Arial" w:hAnsi="Arial" w:cs="Arial"/>
        </w:rPr>
        <w:t>range of complex information</w:t>
      </w:r>
    </w:p>
    <w:p w14:paraId="4DCF2EE7" w14:textId="77777777" w:rsidR="00004009" w:rsidRPr="00004009" w:rsidRDefault="00004009" w:rsidP="0000400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009">
        <w:rPr>
          <w:rFonts w:ascii="Arial" w:hAnsi="Arial" w:cs="Arial"/>
        </w:rPr>
        <w:t>drawing conclusions and making recommendations</w:t>
      </w:r>
    </w:p>
    <w:p w14:paraId="20472AD6" w14:textId="77777777" w:rsidR="00004009" w:rsidRPr="00004009" w:rsidRDefault="00004009" w:rsidP="0000400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009">
        <w:rPr>
          <w:rFonts w:ascii="Arial" w:hAnsi="Arial" w:cs="Arial"/>
        </w:rPr>
        <w:t xml:space="preserve">preparing investigative </w:t>
      </w:r>
      <w:r>
        <w:rPr>
          <w:rFonts w:ascii="Arial" w:hAnsi="Arial" w:cs="Arial"/>
        </w:rPr>
        <w:t xml:space="preserve">outcome </w:t>
      </w:r>
      <w:r w:rsidRPr="00004009">
        <w:rPr>
          <w:rFonts w:ascii="Arial" w:hAnsi="Arial" w:cs="Arial"/>
        </w:rPr>
        <w:t>reports</w:t>
      </w:r>
    </w:p>
    <w:p w14:paraId="65432231" w14:textId="77777777" w:rsidR="00C75D4F" w:rsidRDefault="00C75D4F" w:rsidP="00A23382">
      <w:pPr>
        <w:pStyle w:val="NoSpacing"/>
        <w:jc w:val="both"/>
        <w:rPr>
          <w:rFonts w:ascii="Arial" w:hAnsi="Arial" w:cs="Arial"/>
          <w:bCs/>
        </w:rPr>
      </w:pPr>
    </w:p>
    <w:p w14:paraId="5B839275" w14:textId="77777777" w:rsidR="00C75D4F" w:rsidRDefault="00C75D4F" w:rsidP="00A23382">
      <w:pPr>
        <w:pStyle w:val="NoSpacing"/>
        <w:jc w:val="both"/>
        <w:rPr>
          <w:rFonts w:ascii="Arial" w:hAnsi="Arial" w:cs="Arial"/>
          <w:bCs/>
        </w:rPr>
      </w:pPr>
    </w:p>
    <w:p w14:paraId="6196787B" w14:textId="60C8587E" w:rsidR="00D176DF" w:rsidRDefault="00C75D4F" w:rsidP="00D176DF">
      <w:pPr>
        <w:pStyle w:val="NoSpacing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Have accredit</w:t>
      </w:r>
      <w:r w:rsidR="00D176DF">
        <w:rPr>
          <w:rFonts w:ascii="Arial" w:hAnsi="Arial" w:cs="Arial"/>
          <w:bCs/>
        </w:rPr>
        <w:t xml:space="preserve">ation at PIP </w:t>
      </w:r>
      <w:r w:rsidR="0030534C">
        <w:rPr>
          <w:rFonts w:ascii="Arial" w:hAnsi="Arial" w:cs="Arial"/>
          <w:bCs/>
        </w:rPr>
        <w:t>(Professional</w:t>
      </w:r>
      <w:r w:rsidR="004338A5">
        <w:rPr>
          <w:rFonts w:ascii="Arial" w:hAnsi="Arial" w:cs="Arial"/>
          <w:bCs/>
        </w:rPr>
        <w:t>ising</w:t>
      </w:r>
      <w:r w:rsidR="0030534C">
        <w:rPr>
          <w:rFonts w:ascii="Arial" w:hAnsi="Arial" w:cs="Arial"/>
          <w:bCs/>
        </w:rPr>
        <w:t xml:space="preserve"> Investigations Programme) </w:t>
      </w:r>
      <w:r w:rsidR="00D176DF">
        <w:rPr>
          <w:rFonts w:ascii="Arial" w:hAnsi="Arial" w:cs="Arial"/>
          <w:bCs/>
        </w:rPr>
        <w:t>Level 1 (or above).</w:t>
      </w:r>
    </w:p>
    <w:p w14:paraId="6498E8B0" w14:textId="77777777" w:rsidR="00D176DF" w:rsidRDefault="00D176DF" w:rsidP="00D176DF">
      <w:pPr>
        <w:pStyle w:val="NoSpacing"/>
        <w:ind w:left="720"/>
        <w:jc w:val="both"/>
        <w:rPr>
          <w:rFonts w:ascii="Arial" w:hAnsi="Arial" w:cs="Arial"/>
          <w:bCs/>
        </w:rPr>
      </w:pPr>
    </w:p>
    <w:p w14:paraId="59239841" w14:textId="77777777" w:rsidR="00D176DF" w:rsidRPr="00D176DF" w:rsidRDefault="00D176DF" w:rsidP="00D176DF">
      <w:pPr>
        <w:pStyle w:val="NoSpacing"/>
        <w:ind w:left="720"/>
        <w:jc w:val="both"/>
        <w:rPr>
          <w:rFonts w:ascii="Arial" w:hAnsi="Arial" w:cs="Arial"/>
          <w:b/>
          <w:bCs/>
          <w:u w:val="single"/>
        </w:rPr>
      </w:pPr>
      <w:r w:rsidRPr="00D176DF">
        <w:rPr>
          <w:rFonts w:ascii="Arial" w:hAnsi="Arial" w:cs="Arial"/>
          <w:b/>
          <w:bCs/>
          <w:u w:val="single"/>
        </w:rPr>
        <w:t>OR</w:t>
      </w:r>
    </w:p>
    <w:p w14:paraId="4594DA2B" w14:textId="77777777" w:rsidR="00D176DF" w:rsidRDefault="00D176DF" w:rsidP="00D176DF">
      <w:pPr>
        <w:pStyle w:val="NoSpacing"/>
        <w:ind w:left="720"/>
        <w:jc w:val="both"/>
        <w:rPr>
          <w:rFonts w:ascii="Arial" w:hAnsi="Arial" w:cs="Arial"/>
          <w:bCs/>
        </w:rPr>
      </w:pPr>
    </w:p>
    <w:p w14:paraId="7A827451" w14:textId="77777777" w:rsidR="008B4A6F" w:rsidRDefault="00D176DF" w:rsidP="00D176DF">
      <w:pPr>
        <w:pStyle w:val="NoSpacing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Declare </w:t>
      </w:r>
      <w:r w:rsidR="00C75D4F">
        <w:rPr>
          <w:rFonts w:ascii="Arial" w:hAnsi="Arial" w:cs="Arial"/>
          <w:bCs/>
        </w:rPr>
        <w:t>a commitment to undertake the PIP accreditation programme with PONI</w:t>
      </w:r>
      <w:r w:rsidR="008B4A6F">
        <w:rPr>
          <w:rFonts w:ascii="Arial" w:hAnsi="Arial" w:cs="Arial"/>
          <w:bCs/>
        </w:rPr>
        <w:t xml:space="preserve"> </w:t>
      </w:r>
    </w:p>
    <w:p w14:paraId="79B53950" w14:textId="77777777" w:rsidR="008B4A6F" w:rsidRDefault="008B4A6F" w:rsidP="008B4A6F">
      <w:pPr>
        <w:pStyle w:val="NoSpacing"/>
        <w:ind w:left="567" w:hanging="567"/>
        <w:jc w:val="both"/>
        <w:rPr>
          <w:rFonts w:ascii="Arial" w:hAnsi="Arial" w:cs="Arial"/>
          <w:bCs/>
        </w:rPr>
      </w:pPr>
    </w:p>
    <w:p w14:paraId="45C85928" w14:textId="77777777" w:rsidR="008070E5" w:rsidRDefault="008070E5" w:rsidP="008070E5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H</w:t>
      </w:r>
      <w:r>
        <w:rPr>
          <w:rFonts w:ascii="Arial" w:hAnsi="Arial" w:cs="Arial"/>
        </w:rPr>
        <w:t>old a current driving licence which meets Northern Ireland road traffic legislation</w:t>
      </w:r>
    </w:p>
    <w:p w14:paraId="321122F5" w14:textId="77777777" w:rsidR="008070E5" w:rsidRDefault="008070E5" w:rsidP="008070E5">
      <w:pPr>
        <w:pStyle w:val="ListParagraph"/>
        <w:rPr>
          <w:rFonts w:ascii="Arial" w:hAnsi="Arial" w:cs="Arial"/>
        </w:rPr>
      </w:pPr>
    </w:p>
    <w:p w14:paraId="5676D929" w14:textId="77777777" w:rsidR="008070E5" w:rsidRDefault="008070E5" w:rsidP="008070E5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</w:rPr>
        <w:t xml:space="preserve"> </w:t>
      </w:r>
    </w:p>
    <w:p w14:paraId="2875D0AA" w14:textId="77777777" w:rsidR="008070E5" w:rsidRDefault="008070E5" w:rsidP="008070E5">
      <w:pPr>
        <w:pStyle w:val="NoSpacing"/>
        <w:ind w:left="567" w:hanging="567"/>
        <w:jc w:val="both"/>
        <w:rPr>
          <w:rFonts w:ascii="Arial" w:hAnsi="Arial" w:cs="Arial"/>
        </w:rPr>
      </w:pPr>
    </w:p>
    <w:p w14:paraId="4AD2CA45" w14:textId="77777777" w:rsidR="008070E5" w:rsidRDefault="008070E5" w:rsidP="008070E5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*Have access to a means of transport that will enable them to undertake the duties of the post in full.</w:t>
      </w:r>
    </w:p>
    <w:p w14:paraId="13A6A1F8" w14:textId="77777777" w:rsidR="008070E5" w:rsidRDefault="008070E5" w:rsidP="008070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A065F5" w14:textId="77777777" w:rsidR="008070E5" w:rsidRDefault="008070E5" w:rsidP="008070E5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*This relates only to any person who has declared that they have a </w:t>
      </w:r>
      <w:proofErr w:type="gramStart"/>
      <w:r>
        <w:rPr>
          <w:rFonts w:ascii="Arial" w:hAnsi="Arial" w:cs="Arial"/>
        </w:rPr>
        <w:t>disability which</w:t>
      </w:r>
      <w:proofErr w:type="gramEnd"/>
      <w:r>
        <w:rPr>
          <w:rFonts w:ascii="Arial" w:hAnsi="Arial" w:cs="Arial"/>
        </w:rPr>
        <w:t xml:space="preserve"> debars them from driving. </w:t>
      </w:r>
    </w:p>
    <w:p w14:paraId="0D8730B6" w14:textId="77777777" w:rsidR="008B4A6F" w:rsidRDefault="00D176DF" w:rsidP="003674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87DBC6" w14:textId="77777777" w:rsidR="00367461" w:rsidRDefault="00367461" w:rsidP="008B4A6F">
      <w:pPr>
        <w:pStyle w:val="NoSpacing"/>
        <w:jc w:val="both"/>
        <w:rPr>
          <w:rFonts w:ascii="Arial" w:hAnsi="Arial" w:cs="Arial"/>
          <w:bCs/>
        </w:rPr>
      </w:pPr>
    </w:p>
    <w:p w14:paraId="009A1210" w14:textId="77777777" w:rsidR="00617F70" w:rsidRDefault="00617F70" w:rsidP="008B4A6F">
      <w:pPr>
        <w:pStyle w:val="NoSpacing"/>
        <w:jc w:val="both"/>
        <w:rPr>
          <w:rFonts w:ascii="Arial" w:hAnsi="Arial" w:cs="Arial"/>
          <w:b/>
          <w:bCs/>
        </w:rPr>
      </w:pPr>
    </w:p>
    <w:p w14:paraId="1B073F68" w14:textId="0098CA6B" w:rsidR="008B4A6F" w:rsidRDefault="008B4A6F" w:rsidP="008B4A6F">
      <w:pPr>
        <w:pStyle w:val="NoSpacing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lastRenderedPageBreak/>
        <w:t>Desirable Criteria</w:t>
      </w:r>
    </w:p>
    <w:p w14:paraId="001831A8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3B35A856" w14:textId="77777777" w:rsidR="00A23382" w:rsidRDefault="00A23382" w:rsidP="00A23382">
      <w:pPr>
        <w:pStyle w:val="NoSpacing"/>
        <w:jc w:val="both"/>
        <w:rPr>
          <w:rFonts w:ascii="Arial" w:hAnsi="Arial" w:cs="Arial"/>
        </w:rPr>
      </w:pPr>
    </w:p>
    <w:p w14:paraId="1487CED4" w14:textId="77777777" w:rsidR="00367461" w:rsidRDefault="00367461" w:rsidP="00367461">
      <w:pPr>
        <w:pStyle w:val="NoSpacing"/>
        <w:ind w:left="720"/>
        <w:jc w:val="both"/>
        <w:rPr>
          <w:rFonts w:ascii="Arial" w:hAnsi="Arial" w:cs="Arial"/>
        </w:rPr>
      </w:pPr>
    </w:p>
    <w:p w14:paraId="39164520" w14:textId="77777777" w:rsidR="008B4A6F" w:rsidRPr="00367461" w:rsidRDefault="008B4A6F" w:rsidP="00367461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367461">
        <w:rPr>
          <w:rFonts w:ascii="Arial" w:hAnsi="Arial" w:cs="Arial"/>
        </w:rPr>
        <w:t>Experience in the use of digital media to assist in the investigation process.</w:t>
      </w:r>
    </w:p>
    <w:p w14:paraId="2666B99D" w14:textId="77777777" w:rsidR="008B4A6F" w:rsidRDefault="008B4A6F" w:rsidP="008B4A6F">
      <w:pPr>
        <w:pStyle w:val="ListParagraph"/>
        <w:rPr>
          <w:rFonts w:ascii="Arial" w:hAnsi="Arial" w:cs="Arial"/>
        </w:rPr>
      </w:pPr>
    </w:p>
    <w:p w14:paraId="4DEB7F78" w14:textId="77777777" w:rsidR="008B4A6F" w:rsidRDefault="008B4A6F" w:rsidP="008B4A6F">
      <w:pPr>
        <w:pStyle w:val="ListParagraph"/>
        <w:rPr>
          <w:rFonts w:ascii="Arial" w:hAnsi="Arial" w:cs="Arial"/>
        </w:rPr>
      </w:pPr>
    </w:p>
    <w:p w14:paraId="5E860AB7" w14:textId="77777777" w:rsidR="008B4A6F" w:rsidRDefault="008B4A6F" w:rsidP="008B4A6F">
      <w:pPr>
        <w:pStyle w:val="NoSpacing"/>
        <w:jc w:val="both"/>
        <w:rPr>
          <w:rFonts w:ascii="Arial" w:hAnsi="Arial" w:cs="Arial"/>
        </w:rPr>
      </w:pPr>
    </w:p>
    <w:p w14:paraId="5755EC70" w14:textId="77777777" w:rsidR="00200B0F" w:rsidRDefault="00200B0F"/>
    <w:p w14:paraId="165C7C5A" w14:textId="77777777" w:rsidR="00A23382" w:rsidRPr="008B4A6F" w:rsidRDefault="00A23382" w:rsidP="00A23382">
      <w:pPr>
        <w:pStyle w:val="NoSpacing"/>
        <w:jc w:val="both"/>
        <w:rPr>
          <w:rFonts w:ascii="Arial" w:hAnsi="Arial" w:cs="Arial"/>
          <w:color w:val="FF0000"/>
        </w:rPr>
      </w:pPr>
    </w:p>
    <w:p w14:paraId="751B3F3D" w14:textId="77777777" w:rsidR="00A23382" w:rsidRDefault="00A23382"/>
    <w:sectPr w:rsidR="00A23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0AD"/>
    <w:multiLevelType w:val="hybridMultilevel"/>
    <w:tmpl w:val="0C6A7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94D32"/>
    <w:multiLevelType w:val="hybridMultilevel"/>
    <w:tmpl w:val="D8864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865D4"/>
    <w:multiLevelType w:val="hybridMultilevel"/>
    <w:tmpl w:val="60424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42216"/>
    <w:multiLevelType w:val="hybridMultilevel"/>
    <w:tmpl w:val="12F8177E"/>
    <w:lvl w:ilvl="0" w:tplc="17B044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02E"/>
    <w:multiLevelType w:val="hybridMultilevel"/>
    <w:tmpl w:val="AA46E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6B8B"/>
    <w:multiLevelType w:val="hybridMultilevel"/>
    <w:tmpl w:val="9120EBDA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F"/>
    <w:rsid w:val="00004009"/>
    <w:rsid w:val="001F7BDA"/>
    <w:rsid w:val="00200B0F"/>
    <w:rsid w:val="002A47A3"/>
    <w:rsid w:val="002E6B3D"/>
    <w:rsid w:val="0030534C"/>
    <w:rsid w:val="00367461"/>
    <w:rsid w:val="00392169"/>
    <w:rsid w:val="004338A5"/>
    <w:rsid w:val="00596E6C"/>
    <w:rsid w:val="00617F70"/>
    <w:rsid w:val="008070E5"/>
    <w:rsid w:val="008B4A6F"/>
    <w:rsid w:val="00A23382"/>
    <w:rsid w:val="00A564F6"/>
    <w:rsid w:val="00A77979"/>
    <w:rsid w:val="00C75D4F"/>
    <w:rsid w:val="00C94079"/>
    <w:rsid w:val="00D176DF"/>
    <w:rsid w:val="00D86878"/>
    <w:rsid w:val="00E0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C59C"/>
  <w15:chartTrackingRefBased/>
  <w15:docId w15:val="{77C4F378-0D6B-4C72-B8FC-F494722E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4A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4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4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4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2879</Characters>
  <Application>Microsoft Office Word</Application>
  <DocSecurity>0</DocSecurity>
  <Lines>109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Nikki (OPONI)</dc:creator>
  <cp:keywords/>
  <dc:description/>
  <cp:lastModifiedBy>Mullan, Marie (OPONI)</cp:lastModifiedBy>
  <cp:revision>2</cp:revision>
  <dcterms:created xsi:type="dcterms:W3CDTF">2025-04-04T10:33:00Z</dcterms:created>
  <dcterms:modified xsi:type="dcterms:W3CDTF">2025-04-04T10:33:00Z</dcterms:modified>
</cp:coreProperties>
</file>